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B9C1" w14:textId="64578E23" w:rsidR="007130F8" w:rsidRPr="00E624A6" w:rsidRDefault="007130F8" w:rsidP="00E624A6">
      <w:pPr>
        <w:pStyle w:val="Nagwek1"/>
        <w:spacing w:before="0" w:line="240" w:lineRule="auto"/>
        <w:jc w:val="center"/>
        <w:rPr>
          <w:rFonts w:ascii="Arial" w:eastAsia="Calibri" w:hAnsi="Arial" w:cs="Arial"/>
          <w:color w:val="auto"/>
          <w:sz w:val="28"/>
          <w:szCs w:val="28"/>
          <w:lang w:eastAsia="ar-SA"/>
        </w:rPr>
      </w:pPr>
      <w:r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>Z</w:t>
      </w:r>
      <w:r w:rsidR="003F2390"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 xml:space="preserve">arządzenie Nr </w:t>
      </w:r>
      <w:r w:rsidR="00607110"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>312</w:t>
      </w:r>
    </w:p>
    <w:p w14:paraId="43CCF1EB" w14:textId="77777777" w:rsidR="003F2390" w:rsidRPr="00E624A6" w:rsidRDefault="007130F8" w:rsidP="00E624A6">
      <w:pPr>
        <w:pStyle w:val="Nagwek1"/>
        <w:spacing w:before="0" w:line="240" w:lineRule="auto"/>
        <w:jc w:val="center"/>
        <w:rPr>
          <w:rFonts w:ascii="Arial" w:eastAsia="Calibri" w:hAnsi="Arial" w:cs="Arial"/>
          <w:color w:val="auto"/>
          <w:sz w:val="28"/>
          <w:szCs w:val="28"/>
          <w:lang w:eastAsia="ar-SA"/>
        </w:rPr>
      </w:pPr>
      <w:r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>P</w:t>
      </w:r>
      <w:r w:rsidR="003F2390"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>rezydenta Miasta Piotrkowa Trybunalskiego</w:t>
      </w:r>
    </w:p>
    <w:p w14:paraId="75ED3A8A" w14:textId="3CA09B93" w:rsidR="003F2390" w:rsidRPr="00E624A6" w:rsidRDefault="007130F8" w:rsidP="00F96AD3">
      <w:pPr>
        <w:pStyle w:val="Nagwek1"/>
        <w:spacing w:before="0" w:line="720" w:lineRule="auto"/>
        <w:jc w:val="center"/>
        <w:rPr>
          <w:rFonts w:ascii="Arial" w:eastAsia="Calibri" w:hAnsi="Arial" w:cs="Arial"/>
          <w:color w:val="auto"/>
          <w:sz w:val="28"/>
          <w:szCs w:val="28"/>
          <w:lang w:eastAsia="ar-SA"/>
        </w:rPr>
      </w:pPr>
      <w:r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 xml:space="preserve">z dnia </w:t>
      </w:r>
      <w:r w:rsidR="00607110"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>15</w:t>
      </w:r>
      <w:r w:rsidRPr="00E624A6">
        <w:rPr>
          <w:rFonts w:ascii="Arial" w:eastAsia="Calibri" w:hAnsi="Arial" w:cs="Arial"/>
          <w:color w:val="auto"/>
          <w:sz w:val="28"/>
          <w:szCs w:val="28"/>
          <w:lang w:eastAsia="ar-SA"/>
        </w:rPr>
        <w:t xml:space="preserve"> września 2025 roku</w:t>
      </w:r>
    </w:p>
    <w:p w14:paraId="171BB91D" w14:textId="7B98541D" w:rsidR="007130F8" w:rsidRPr="003F2390" w:rsidRDefault="007130F8" w:rsidP="00266F6D">
      <w:pPr>
        <w:suppressAutoHyphens/>
        <w:spacing w:line="360" w:lineRule="auto"/>
        <w:rPr>
          <w:rFonts w:ascii="Arial" w:eastAsia="Calibri" w:hAnsi="Arial" w:cs="Arial"/>
          <w:bCs/>
          <w:kern w:val="0"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kern w:val="0"/>
          <w:lang w:eastAsia="ar-SA"/>
          <w14:ligatures w14:val="none"/>
        </w:rPr>
        <w:t>w sprawie zatwierdzenia zmian do Regulaminu Organizacyjnego Dziennego Domu Pomocy Społecznej w Piotrkowie Trybunalskim</w:t>
      </w:r>
    </w:p>
    <w:p w14:paraId="1E0C02FC" w14:textId="6A42B2A3" w:rsidR="007130F8" w:rsidRPr="003F2390" w:rsidRDefault="007130F8" w:rsidP="00E624A6">
      <w:pPr>
        <w:widowControl w:val="0"/>
        <w:suppressAutoHyphens/>
        <w:spacing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Na podstawie art. 30 ust. 1 ustawy z dnia 8 marca 1990 roku o samorządzie gminnym (Dz. U. z 2025 r. poz. 1153), art. 92 ust. 2 ustawy z dnia 5 czerwca 1998 roku o samorządzie powiatowym (Dz. U. z 2024 r. poz. 107 z 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późn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>. zm.), § 5 ust. 5 Statutu Dziennego Domu Pomocy Społecznej w Piotrkowie Trybunalskim zarządza się, co następuje:</w:t>
      </w:r>
    </w:p>
    <w:p w14:paraId="4DDB4135" w14:textId="77777777" w:rsidR="007130F8" w:rsidRPr="003F2390" w:rsidRDefault="007130F8" w:rsidP="003F2390">
      <w:pPr>
        <w:widowControl w:val="0"/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§ 1</w:t>
      </w:r>
    </w:p>
    <w:p w14:paraId="0702D0F9" w14:textId="2888FF05" w:rsidR="007130F8" w:rsidRPr="003F2390" w:rsidRDefault="007130F8" w:rsidP="003F2390">
      <w:pPr>
        <w:widowControl w:val="0"/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W Regulaminie Organizacyjnym Dziennego Domu Pomocy Społecznej w Piotrkowie Trybunalskim zatwierdzonym Zarządzeniem Nr 229 Prezydenta Miasta Piotrkowa Trybunalskiego z dnia 08 czerwca 2018 roku zmienionym Zarządzeniami Nr 271 z dnia 14 sierpnia 2020 roku oraz Nr 218 z dnia 5 lipca 2023 roku wprowadza się następujące zmiany:</w:t>
      </w:r>
    </w:p>
    <w:p w14:paraId="12178C98" w14:textId="5B24BD2D" w:rsidR="007130F8" w:rsidRPr="003F2390" w:rsidRDefault="007130F8" w:rsidP="003F2390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 § 2 otrzymuje następujące brzmienie:</w:t>
      </w:r>
    </w:p>
    <w:p w14:paraId="2C79562C" w14:textId="0B82A75B" w:rsidR="007130F8" w:rsidRPr="003F2390" w:rsidRDefault="007130F8" w:rsidP="003F2390">
      <w:pPr>
        <w:widowControl w:val="0"/>
        <w:tabs>
          <w:tab w:val="left" w:pos="142"/>
          <w:tab w:val="left" w:pos="420"/>
        </w:tabs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 „§ 2 Dzienny Dom Pomocy Społecznej działa na podstawie:</w:t>
      </w:r>
    </w:p>
    <w:p w14:paraId="45EB9D3E" w14:textId="07E96C72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Ustawy z dnia 12 marca 2004 r. o pomocy społecznej (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t.j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. </w:t>
      </w:r>
      <w:hyperlink r:id="rId6" w:history="1">
        <w:r w:rsidRPr="003F2390">
          <w:rPr>
            <w:rFonts w:ascii="Arial" w:eastAsia="Calibri" w:hAnsi="Arial" w:cs="Arial"/>
            <w:bCs/>
            <w:lang w:eastAsia="ar-SA"/>
            <w14:ligatures w14:val="none"/>
          </w:rPr>
          <w:t xml:space="preserve">Dz. U. z 2024 r. poz. </w:t>
        </w:r>
      </w:hyperlink>
      <w:r w:rsidRPr="003F2390">
        <w:rPr>
          <w:rFonts w:ascii="Arial" w:eastAsia="Calibri" w:hAnsi="Arial" w:cs="Arial"/>
          <w:bCs/>
          <w:lang w:eastAsia="ar-SA"/>
          <w14:ligatures w14:val="none"/>
        </w:rPr>
        <w:t>1283 ze zm.),</w:t>
      </w:r>
    </w:p>
    <w:p w14:paraId="7AFC2365" w14:textId="1A9C8A73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Ustawy z 27 sierpnia 2009 r. o finansach publicznych (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t.j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>. Dz. U. z 2024 r. poz. 1530</w:t>
      </w:r>
      <w:r w:rsidR="00BF07A4" w:rsidRPr="003F2390">
        <w:rPr>
          <w:rFonts w:ascii="Arial" w:eastAsia="Calibri" w:hAnsi="Arial" w:cs="Arial"/>
          <w:bCs/>
          <w:lang w:eastAsia="ar-SA"/>
          <w14:ligatures w14:val="none"/>
        </w:rPr>
        <w:t xml:space="preserve"> </w:t>
      </w:r>
      <w:r w:rsidRPr="003F2390">
        <w:rPr>
          <w:rFonts w:ascii="Arial" w:eastAsia="Calibri" w:hAnsi="Arial" w:cs="Arial"/>
          <w:bCs/>
          <w:lang w:eastAsia="ar-SA"/>
          <w14:ligatures w14:val="none"/>
        </w:rPr>
        <w:t>ze zm.),</w:t>
      </w:r>
    </w:p>
    <w:p w14:paraId="35E6CBA9" w14:textId="027816F4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Ustawy z dnia 11 września 2019 r. - Prawo zamówień publicznych (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t.j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>. Dz. U. z 2024 r. poz. 1320 ze zm.),</w:t>
      </w:r>
    </w:p>
    <w:p w14:paraId="721FD082" w14:textId="77777777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Ustawy z dnia 8 marca 1990 r. o samorządzie gminnym (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t.j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>. Dz. U. z 2025 r. poz. 1153),</w:t>
      </w:r>
    </w:p>
    <w:p w14:paraId="498EFB52" w14:textId="0393B10E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Ustawy z dnia 21 listopada 2008 r. o pracownikach samorządowych (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t.j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>. Dz. U.</w:t>
      </w:r>
      <w:r w:rsidR="00AF7C24" w:rsidRPr="003F2390">
        <w:rPr>
          <w:rFonts w:ascii="Arial" w:eastAsia="Calibri" w:hAnsi="Arial" w:cs="Arial"/>
          <w:bCs/>
          <w:lang w:eastAsia="ar-SA"/>
          <w14:ligatures w14:val="none"/>
        </w:rPr>
        <w:t xml:space="preserve"> </w:t>
      </w:r>
      <w:r w:rsidRPr="003F2390">
        <w:rPr>
          <w:rFonts w:ascii="Arial" w:eastAsia="Calibri" w:hAnsi="Arial" w:cs="Arial"/>
          <w:bCs/>
          <w:lang w:eastAsia="ar-SA"/>
          <w14:ligatures w14:val="none"/>
        </w:rPr>
        <w:t>z 2024 r. poz. 1135),</w:t>
      </w:r>
    </w:p>
    <w:p w14:paraId="0D4C4871" w14:textId="77777777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Innych przepisów prawa określających funkcjonowanie jednostek organizacyjnych pomocy społecznej,</w:t>
      </w:r>
    </w:p>
    <w:p w14:paraId="4283CDC0" w14:textId="63E3E2EE" w:rsidR="007130F8" w:rsidRPr="003F2390" w:rsidRDefault="007130F8" w:rsidP="003F2390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after="0"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Statutu nadanego Uchwałą Nr LIV/897/10 Rady Miasta Piotrkowa Trybunalskiego </w:t>
      </w:r>
      <w:r w:rsidRPr="003F2390">
        <w:rPr>
          <w:rFonts w:ascii="Arial" w:eastAsia="Calibri" w:hAnsi="Arial" w:cs="Arial"/>
          <w:bCs/>
          <w:lang w:eastAsia="ar-SA"/>
          <w14:ligatures w14:val="none"/>
        </w:rPr>
        <w:lastRenderedPageBreak/>
        <w:t xml:space="preserve">z dnia 25 sierpnia 2010 r. (Dz. Urz. Woj. </w:t>
      </w:r>
      <w:proofErr w:type="spellStart"/>
      <w:r w:rsidRPr="003F2390">
        <w:rPr>
          <w:rFonts w:ascii="Arial" w:eastAsia="Calibri" w:hAnsi="Arial" w:cs="Arial"/>
          <w:bCs/>
          <w:lang w:eastAsia="ar-SA"/>
          <w14:ligatures w14:val="none"/>
        </w:rPr>
        <w:t>Łódz</w:t>
      </w:r>
      <w:proofErr w:type="spellEnd"/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. Nr 297, poz. 2489), </w:t>
      </w:r>
    </w:p>
    <w:p w14:paraId="1F61052C" w14:textId="15984F37" w:rsidR="007130F8" w:rsidRPr="00E624A6" w:rsidRDefault="007130F8" w:rsidP="00E624A6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line="360" w:lineRule="auto"/>
        <w:ind w:left="0" w:firstLine="0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Niniejszego Regulaminu.”</w:t>
      </w:r>
    </w:p>
    <w:p w14:paraId="681020F4" w14:textId="5AAD4F08" w:rsidR="007130F8" w:rsidRPr="00E624A6" w:rsidRDefault="007130F8" w:rsidP="00E624A6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E624A6">
        <w:rPr>
          <w:rFonts w:ascii="Arial" w:eastAsia="Calibri" w:hAnsi="Arial" w:cs="Arial"/>
          <w:bCs/>
          <w:lang w:eastAsia="ar-SA"/>
          <w14:ligatures w14:val="none"/>
        </w:rPr>
        <w:t>§ 13 otrzymuje następujące brzmienie:</w:t>
      </w:r>
    </w:p>
    <w:p w14:paraId="4DCD24C7" w14:textId="77777777" w:rsidR="007130F8" w:rsidRPr="003F2390" w:rsidRDefault="007130F8" w:rsidP="003F2390">
      <w:pPr>
        <w:widowControl w:val="0"/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„ § 13 </w:t>
      </w:r>
    </w:p>
    <w:p w14:paraId="5208D4F6" w14:textId="12FEFBE6" w:rsidR="007130F8" w:rsidRPr="00740BE8" w:rsidRDefault="007130F8" w:rsidP="00740BE8">
      <w:pPr>
        <w:pStyle w:val="Akapitzlist"/>
        <w:widowControl w:val="0"/>
        <w:numPr>
          <w:ilvl w:val="3"/>
          <w:numId w:val="1"/>
        </w:numPr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740BE8">
        <w:rPr>
          <w:rFonts w:ascii="Arial" w:eastAsia="Calibri" w:hAnsi="Arial" w:cs="Arial"/>
          <w:bCs/>
          <w:lang w:eastAsia="ar-SA"/>
          <w14:ligatures w14:val="none"/>
        </w:rPr>
        <w:t>W dziale finansowo-księgowym zatrudnieni są:</w:t>
      </w:r>
    </w:p>
    <w:p w14:paraId="37DEC612" w14:textId="77777777" w:rsidR="007130F8" w:rsidRPr="003F2390" w:rsidRDefault="007130F8" w:rsidP="003F2390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Główny księgowy,</w:t>
      </w:r>
    </w:p>
    <w:p w14:paraId="78617F2C" w14:textId="77777777" w:rsidR="007130F8" w:rsidRPr="003F2390" w:rsidRDefault="007130F8" w:rsidP="003F2390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Starszy księgowy,</w:t>
      </w:r>
    </w:p>
    <w:p w14:paraId="4F58A4A2" w14:textId="77777777" w:rsidR="007130F8" w:rsidRPr="003F2390" w:rsidRDefault="007130F8" w:rsidP="003F2390">
      <w:pPr>
        <w:widowControl w:val="0"/>
        <w:numPr>
          <w:ilvl w:val="0"/>
          <w:numId w:val="3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Księgowy,</w:t>
      </w:r>
    </w:p>
    <w:p w14:paraId="16B0B930" w14:textId="77777777" w:rsidR="007130F8" w:rsidRPr="003F2390" w:rsidRDefault="007130F8" w:rsidP="00F96AD3">
      <w:pPr>
        <w:widowControl w:val="0"/>
        <w:numPr>
          <w:ilvl w:val="0"/>
          <w:numId w:val="3"/>
        </w:numPr>
        <w:suppressAutoHyphens/>
        <w:spacing w:line="48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Referent.</w:t>
      </w:r>
    </w:p>
    <w:p w14:paraId="3988EA49" w14:textId="5A949FAE" w:rsidR="007130F8" w:rsidRPr="00740BE8" w:rsidRDefault="007130F8" w:rsidP="00740BE8">
      <w:pPr>
        <w:pStyle w:val="Akapitzlist"/>
        <w:widowControl w:val="0"/>
        <w:numPr>
          <w:ilvl w:val="3"/>
          <w:numId w:val="1"/>
        </w:numPr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740BE8">
        <w:rPr>
          <w:rFonts w:ascii="Arial" w:eastAsia="Calibri" w:hAnsi="Arial" w:cs="Arial"/>
          <w:bCs/>
          <w:lang w:eastAsia="ar-SA"/>
          <w14:ligatures w14:val="none"/>
        </w:rPr>
        <w:t xml:space="preserve"> Do zadań Głównego księgowego należy w szczególności:</w:t>
      </w:r>
    </w:p>
    <w:p w14:paraId="5490D739" w14:textId="20791A7F" w:rsidR="007130F8" w:rsidRPr="003F2390" w:rsidRDefault="007130F8" w:rsidP="003F2390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księgowości budżetowej i gospodarki finansowej zgodnie z obowiązującymi przepisami,</w:t>
      </w:r>
    </w:p>
    <w:p w14:paraId="539D8457" w14:textId="77777777" w:rsidR="007130F8" w:rsidRPr="003F2390" w:rsidRDefault="007130F8" w:rsidP="003F2390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wykonywanie dyspozycji środkami pieniężnymi,</w:t>
      </w:r>
    </w:p>
    <w:p w14:paraId="5CEAE741" w14:textId="77777777" w:rsidR="007130F8" w:rsidRPr="003F2390" w:rsidRDefault="007130F8" w:rsidP="003F2390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dokonywanie wstępnej kontroli operacji gospodarczych i finansowych z planem finansowym,</w:t>
      </w:r>
    </w:p>
    <w:p w14:paraId="3AB686CC" w14:textId="77777777" w:rsidR="007130F8" w:rsidRPr="003F2390" w:rsidRDefault="007130F8" w:rsidP="003F2390">
      <w:pPr>
        <w:widowControl w:val="0"/>
        <w:numPr>
          <w:ilvl w:val="0"/>
          <w:numId w:val="4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dokonywanie wstępnej kontroli kompletności i rzetelności dokumentów dotyczących operacji gospodarczych i finansowych,</w:t>
      </w:r>
    </w:p>
    <w:p w14:paraId="41F09B9C" w14:textId="415AB470" w:rsidR="007130F8" w:rsidRPr="00CD35AF" w:rsidRDefault="007130F8" w:rsidP="00F96AD3">
      <w:pPr>
        <w:widowControl w:val="0"/>
        <w:numPr>
          <w:ilvl w:val="0"/>
          <w:numId w:val="4"/>
        </w:numPr>
        <w:suppressAutoHyphens/>
        <w:spacing w:line="48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sporządzanie sprawozdań budżetowych i finansowych z wykonania budżetu DDPS.</w:t>
      </w:r>
    </w:p>
    <w:p w14:paraId="468E93A0" w14:textId="776A9F2C" w:rsidR="007130F8" w:rsidRPr="00740BE8" w:rsidRDefault="007130F8" w:rsidP="00740BE8">
      <w:pPr>
        <w:pStyle w:val="Akapitzlist"/>
        <w:widowControl w:val="0"/>
        <w:numPr>
          <w:ilvl w:val="3"/>
          <w:numId w:val="1"/>
        </w:numPr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740BE8">
        <w:rPr>
          <w:rFonts w:ascii="Arial" w:eastAsia="Calibri" w:hAnsi="Arial" w:cs="Arial"/>
          <w:bCs/>
          <w:lang w:eastAsia="ar-SA"/>
          <w14:ligatures w14:val="none"/>
        </w:rPr>
        <w:t xml:space="preserve"> Do zadań Starszego księgowego należy w szczególności:</w:t>
      </w:r>
    </w:p>
    <w:p w14:paraId="66C246CD" w14:textId="77777777" w:rsidR="007130F8" w:rsidRPr="003F2390" w:rsidRDefault="007130F8" w:rsidP="003F2390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naliczanie i sporządzanie list płac, prowadzenie kart wynagrodzeń i kart zasiłkowych pracowników DDPS,</w:t>
      </w:r>
    </w:p>
    <w:p w14:paraId="462312F8" w14:textId="77777777" w:rsidR="007130F8" w:rsidRPr="003F2390" w:rsidRDefault="007130F8" w:rsidP="003F2390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dokumentów rozliczeniowych z ZUS i Urzędem Skarbowym,</w:t>
      </w:r>
    </w:p>
    <w:p w14:paraId="4A9B8E88" w14:textId="77777777" w:rsidR="007130F8" w:rsidRPr="003F2390" w:rsidRDefault="007130F8" w:rsidP="003F2390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obsługa rachunku bankowego,</w:t>
      </w:r>
    </w:p>
    <w:p w14:paraId="4CB7DA76" w14:textId="77777777" w:rsidR="007130F8" w:rsidRPr="003F2390" w:rsidRDefault="007130F8" w:rsidP="003F2390">
      <w:pPr>
        <w:widowControl w:val="0"/>
        <w:numPr>
          <w:ilvl w:val="0"/>
          <w:numId w:val="5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przeprowadzenie kontroli wstępnej dokumentów,</w:t>
      </w:r>
    </w:p>
    <w:p w14:paraId="4444BFA7" w14:textId="77777777" w:rsidR="007130F8" w:rsidRPr="003F2390" w:rsidRDefault="007130F8" w:rsidP="00F96AD3">
      <w:pPr>
        <w:widowControl w:val="0"/>
        <w:numPr>
          <w:ilvl w:val="0"/>
          <w:numId w:val="5"/>
        </w:numPr>
        <w:suppressAutoHyphens/>
        <w:spacing w:after="0" w:line="48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gospodarowanie drukami ścisłego zarachowania.</w:t>
      </w:r>
    </w:p>
    <w:p w14:paraId="71D512C5" w14:textId="74C8FE5D" w:rsidR="007130F8" w:rsidRPr="00740BE8" w:rsidRDefault="007130F8" w:rsidP="00740BE8">
      <w:pPr>
        <w:pStyle w:val="Akapitzlist"/>
        <w:widowControl w:val="0"/>
        <w:numPr>
          <w:ilvl w:val="3"/>
          <w:numId w:val="1"/>
        </w:numPr>
        <w:suppressAutoHyphens/>
        <w:spacing w:before="240"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740BE8">
        <w:rPr>
          <w:rFonts w:ascii="Arial" w:eastAsia="Calibri" w:hAnsi="Arial" w:cs="Arial"/>
          <w:bCs/>
          <w:lang w:eastAsia="ar-SA"/>
          <w14:ligatures w14:val="none"/>
        </w:rPr>
        <w:t>Do zadań Księgowego należy w szczególności:</w:t>
      </w:r>
    </w:p>
    <w:p w14:paraId="163DF685" w14:textId="77777777" w:rsidR="007130F8" w:rsidRPr="003F2390" w:rsidRDefault="007130F8" w:rsidP="003F2390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postępowań o udzielenie zamówień publicznych zgodnie z ustawą prawo zamówień publicznych,</w:t>
      </w:r>
    </w:p>
    <w:p w14:paraId="622715F8" w14:textId="77777777" w:rsidR="007130F8" w:rsidRPr="003F2390" w:rsidRDefault="007130F8" w:rsidP="003F2390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rozliczanie przychodów i rozchodów magazynowych,</w:t>
      </w:r>
    </w:p>
    <w:p w14:paraId="1082BA24" w14:textId="77777777" w:rsidR="007130F8" w:rsidRPr="003F2390" w:rsidRDefault="007130F8" w:rsidP="003F2390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i uzgadnianie Rejestrów Dochodów Budżetowych,</w:t>
      </w:r>
    </w:p>
    <w:p w14:paraId="61548E95" w14:textId="1A6AE05E" w:rsidR="007130F8" w:rsidRPr="00266F6D" w:rsidRDefault="007130F8" w:rsidP="00F96AD3">
      <w:pPr>
        <w:widowControl w:val="0"/>
        <w:numPr>
          <w:ilvl w:val="0"/>
          <w:numId w:val="6"/>
        </w:numPr>
        <w:suppressAutoHyphens/>
        <w:spacing w:before="240" w:line="48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lastRenderedPageBreak/>
        <w:t>obsługa dokumentów: ewidencja, weryfikacja, archiwizacja dokumentów księgowych.</w:t>
      </w:r>
    </w:p>
    <w:p w14:paraId="03EED5A8" w14:textId="3FE70A17" w:rsidR="007130F8" w:rsidRPr="00740BE8" w:rsidRDefault="007130F8" w:rsidP="00740BE8">
      <w:pPr>
        <w:pStyle w:val="Akapitzlist"/>
        <w:widowControl w:val="0"/>
        <w:numPr>
          <w:ilvl w:val="3"/>
          <w:numId w:val="1"/>
        </w:numPr>
        <w:suppressAutoHyphens/>
        <w:spacing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740BE8">
        <w:rPr>
          <w:rFonts w:ascii="Arial" w:eastAsia="Calibri" w:hAnsi="Arial" w:cs="Arial"/>
          <w:bCs/>
          <w:lang w:eastAsia="ar-SA"/>
          <w14:ligatures w14:val="none"/>
        </w:rPr>
        <w:t xml:space="preserve"> Do zadań Referenta należy w szczególności:</w:t>
      </w:r>
    </w:p>
    <w:p w14:paraId="7C874B3F" w14:textId="60FA4DFB" w:rsidR="007130F8" w:rsidRPr="003F2390" w:rsidRDefault="007130F8" w:rsidP="003F2390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całokształtu spraw związanych z zakupami w DDPS zgodnie z ustaw</w:t>
      </w:r>
      <w:r w:rsidR="0054105E" w:rsidRPr="003F2390">
        <w:rPr>
          <w:rFonts w:ascii="Arial" w:eastAsia="Calibri" w:hAnsi="Arial" w:cs="Arial"/>
          <w:bCs/>
          <w:lang w:eastAsia="ar-SA"/>
          <w14:ligatures w14:val="none"/>
        </w:rPr>
        <w:t>ą</w:t>
      </w:r>
      <w:r w:rsidRPr="003F2390">
        <w:rPr>
          <w:rFonts w:ascii="Arial" w:eastAsia="Calibri" w:hAnsi="Arial" w:cs="Arial"/>
          <w:bCs/>
          <w:lang w:eastAsia="ar-SA"/>
          <w14:ligatures w14:val="none"/>
        </w:rPr>
        <w:t xml:space="preserve"> prawo zamówień publicznych,</w:t>
      </w:r>
    </w:p>
    <w:p w14:paraId="6D5E9915" w14:textId="77777777" w:rsidR="007130F8" w:rsidRPr="003F2390" w:rsidRDefault="007130F8" w:rsidP="003F2390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kasy zgodnie z obowiązującymi przepisami,</w:t>
      </w:r>
    </w:p>
    <w:p w14:paraId="6123BBBB" w14:textId="77777777" w:rsidR="007130F8" w:rsidRPr="003F2390" w:rsidRDefault="007130F8" w:rsidP="003F2390">
      <w:pPr>
        <w:widowControl w:val="0"/>
        <w:numPr>
          <w:ilvl w:val="0"/>
          <w:numId w:val="7"/>
        </w:numPr>
        <w:suppressAutoHyphens/>
        <w:spacing w:after="0" w:line="36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sporządzenie zapotrzebowania na posiłki oraz prowadzenie ich ewidencji,</w:t>
      </w:r>
    </w:p>
    <w:p w14:paraId="32E5CD93" w14:textId="77777777" w:rsidR="007130F8" w:rsidRPr="003F2390" w:rsidRDefault="007130F8" w:rsidP="00F96AD3">
      <w:pPr>
        <w:widowControl w:val="0"/>
        <w:numPr>
          <w:ilvl w:val="0"/>
          <w:numId w:val="7"/>
        </w:numPr>
        <w:suppressAutoHyphens/>
        <w:spacing w:line="480" w:lineRule="auto"/>
        <w:ind w:left="0" w:firstLine="0"/>
        <w:contextualSpacing/>
        <w:rPr>
          <w:rFonts w:ascii="Arial" w:eastAsia="Calibri" w:hAnsi="Arial" w:cs="Arial"/>
          <w:bCs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lang w:eastAsia="ar-SA"/>
          <w14:ligatures w14:val="none"/>
        </w:rPr>
        <w:t>prowadzenie magazynu zgodnie z obowiązującymi przepisami.”</w:t>
      </w:r>
    </w:p>
    <w:p w14:paraId="353F7616" w14:textId="12013A9A" w:rsidR="007130F8" w:rsidRPr="00D777DD" w:rsidRDefault="007130F8" w:rsidP="00D777DD">
      <w:pPr>
        <w:pStyle w:val="Akapitzlist"/>
        <w:widowControl w:val="0"/>
        <w:numPr>
          <w:ilvl w:val="0"/>
          <w:numId w:val="2"/>
        </w:numPr>
        <w:suppressAutoHyphens/>
        <w:spacing w:before="240" w:after="0" w:line="360" w:lineRule="auto"/>
        <w:rPr>
          <w:rFonts w:ascii="Arial" w:eastAsia="Calibri" w:hAnsi="Arial" w:cs="Arial"/>
          <w:bCs/>
          <w:lang w:eastAsia="ar-SA"/>
          <w14:ligatures w14:val="none"/>
        </w:rPr>
      </w:pPr>
      <w:r w:rsidRPr="00D777DD">
        <w:rPr>
          <w:rFonts w:ascii="Arial" w:eastAsia="Calibri" w:hAnsi="Arial" w:cs="Arial"/>
          <w:bCs/>
          <w:lang w:eastAsia="ar-SA"/>
          <w14:ligatures w14:val="none"/>
        </w:rPr>
        <w:t>Schemat organizacyjny stanowiący załącznik nr 1 do Regulaminu otrzymuje brzmienie</w:t>
      </w:r>
      <w:r w:rsidR="00BF07A4" w:rsidRPr="00D777DD">
        <w:rPr>
          <w:rFonts w:ascii="Arial" w:eastAsia="Calibri" w:hAnsi="Arial" w:cs="Arial"/>
          <w:bCs/>
          <w:lang w:eastAsia="ar-SA"/>
          <w14:ligatures w14:val="none"/>
        </w:rPr>
        <w:t xml:space="preserve"> -</w:t>
      </w:r>
      <w:r w:rsidRPr="00D777DD">
        <w:rPr>
          <w:rFonts w:ascii="Arial" w:eastAsia="Calibri" w:hAnsi="Arial" w:cs="Arial"/>
          <w:bCs/>
          <w:lang w:eastAsia="ar-SA"/>
          <w14:ligatures w14:val="none"/>
        </w:rPr>
        <w:t xml:space="preserve"> jak w załączniku do niniejszego Zarządzenia.</w:t>
      </w:r>
    </w:p>
    <w:p w14:paraId="05D65272" w14:textId="77777777" w:rsidR="007130F8" w:rsidRPr="003F2390" w:rsidRDefault="007130F8" w:rsidP="00266F6D">
      <w:pPr>
        <w:suppressAutoHyphens/>
        <w:spacing w:before="240" w:after="0" w:line="360" w:lineRule="auto"/>
        <w:rPr>
          <w:rFonts w:ascii="Arial" w:eastAsia="Calibri" w:hAnsi="Arial" w:cs="Arial"/>
          <w:bCs/>
          <w:kern w:val="0"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kern w:val="0"/>
          <w:lang w:eastAsia="ar-SA"/>
          <w14:ligatures w14:val="none"/>
        </w:rPr>
        <w:t>§ 2</w:t>
      </w:r>
    </w:p>
    <w:p w14:paraId="5FD7171C" w14:textId="60B4C129" w:rsidR="007130F8" w:rsidRPr="003F2390" w:rsidRDefault="007130F8" w:rsidP="003F2390">
      <w:pPr>
        <w:suppressAutoHyphens/>
        <w:spacing w:after="0" w:line="360" w:lineRule="auto"/>
        <w:rPr>
          <w:rFonts w:ascii="Arial" w:eastAsia="Calibri" w:hAnsi="Arial" w:cs="Arial"/>
          <w:bCs/>
          <w:kern w:val="0"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kern w:val="0"/>
          <w:lang w:eastAsia="ar-SA"/>
          <w14:ligatures w14:val="none"/>
        </w:rPr>
        <w:t>Wykonanie Zarządzenia powierza się Dyrektorowi Dziennego Domu Pomocy Społecznej w Piotrkowie Trybunalskim.</w:t>
      </w:r>
    </w:p>
    <w:p w14:paraId="2E10822F" w14:textId="77777777" w:rsidR="007130F8" w:rsidRPr="003F2390" w:rsidRDefault="007130F8" w:rsidP="00266F6D">
      <w:pPr>
        <w:suppressAutoHyphens/>
        <w:spacing w:before="240" w:after="0" w:line="360" w:lineRule="auto"/>
        <w:rPr>
          <w:rFonts w:ascii="Arial" w:eastAsia="Calibri" w:hAnsi="Arial" w:cs="Arial"/>
          <w:bCs/>
          <w:kern w:val="0"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kern w:val="0"/>
          <w:lang w:eastAsia="ar-SA"/>
          <w14:ligatures w14:val="none"/>
        </w:rPr>
        <w:t>§ 3</w:t>
      </w:r>
    </w:p>
    <w:p w14:paraId="147782AA" w14:textId="22CB1F88" w:rsidR="00A17BDC" w:rsidRPr="003F2390" w:rsidRDefault="007130F8" w:rsidP="00F96AD3">
      <w:pPr>
        <w:suppressAutoHyphens/>
        <w:spacing w:after="0" w:line="1200" w:lineRule="auto"/>
        <w:rPr>
          <w:rFonts w:ascii="Arial" w:eastAsia="Calibri" w:hAnsi="Arial" w:cs="Arial"/>
          <w:bCs/>
          <w:kern w:val="0"/>
          <w:lang w:eastAsia="ar-SA"/>
          <w14:ligatures w14:val="none"/>
        </w:rPr>
      </w:pPr>
      <w:r w:rsidRPr="003F2390">
        <w:rPr>
          <w:rFonts w:ascii="Arial" w:eastAsia="Calibri" w:hAnsi="Arial" w:cs="Arial"/>
          <w:bCs/>
          <w:kern w:val="0"/>
          <w:lang w:eastAsia="ar-SA"/>
          <w14:ligatures w14:val="none"/>
        </w:rPr>
        <w:t>Zarządzenie wchodzi w życie z dniem podpisania.</w:t>
      </w:r>
    </w:p>
    <w:p w14:paraId="27EFD2F7" w14:textId="77777777" w:rsidR="00D405A7" w:rsidRPr="003F2390" w:rsidRDefault="00D405A7" w:rsidP="003F239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Cs/>
          <w:lang w:eastAsia="pl-PL"/>
        </w:rPr>
      </w:pPr>
      <w:r w:rsidRPr="003F2390">
        <w:rPr>
          <w:rFonts w:ascii="Arial" w:eastAsia="Times New Roman" w:hAnsi="Arial" w:cs="Arial"/>
          <w:bCs/>
          <w:lang w:eastAsia="pl-PL"/>
        </w:rPr>
        <w:t>Prezydent Miasta Piotrkowa Trybunalskiego</w:t>
      </w:r>
    </w:p>
    <w:p w14:paraId="367D076D" w14:textId="77777777" w:rsidR="00D405A7" w:rsidRPr="003F2390" w:rsidRDefault="00D405A7" w:rsidP="003F2390">
      <w:pPr>
        <w:shd w:val="clear" w:color="auto" w:fill="FFFFFF"/>
        <w:spacing w:after="0" w:line="360" w:lineRule="auto"/>
        <w:jc w:val="right"/>
        <w:rPr>
          <w:rFonts w:ascii="Arial" w:eastAsia="Times New Roman" w:hAnsi="Arial" w:cs="Arial"/>
          <w:bCs/>
          <w:lang w:eastAsia="pl-PL"/>
        </w:rPr>
      </w:pPr>
      <w:r w:rsidRPr="003F2390">
        <w:rPr>
          <w:rFonts w:ascii="Arial" w:eastAsia="Times New Roman" w:hAnsi="Arial" w:cs="Arial"/>
          <w:bCs/>
          <w:lang w:eastAsia="pl-PL"/>
        </w:rPr>
        <w:t xml:space="preserve">Juliusz </w:t>
      </w:r>
      <w:proofErr w:type="spellStart"/>
      <w:r w:rsidRPr="003F2390">
        <w:rPr>
          <w:rFonts w:ascii="Arial" w:eastAsia="Times New Roman" w:hAnsi="Arial" w:cs="Arial"/>
          <w:bCs/>
          <w:lang w:eastAsia="pl-PL"/>
        </w:rPr>
        <w:t>Wiernicki</w:t>
      </w:r>
      <w:proofErr w:type="spellEnd"/>
    </w:p>
    <w:p w14:paraId="3D5CB718" w14:textId="7592B530" w:rsidR="00495FB1" w:rsidRPr="003F2390" w:rsidRDefault="00D405A7" w:rsidP="003F2390">
      <w:pPr>
        <w:spacing w:after="0" w:line="360" w:lineRule="auto"/>
        <w:jc w:val="right"/>
        <w:rPr>
          <w:rFonts w:ascii="Arial" w:hAnsi="Arial" w:cs="Arial"/>
          <w:bCs/>
        </w:rPr>
      </w:pPr>
      <w:r w:rsidRPr="003F2390">
        <w:rPr>
          <w:rFonts w:ascii="Arial" w:eastAsia="Times New Roman" w:hAnsi="Arial" w:cs="Arial"/>
          <w:bCs/>
          <w:lang w:eastAsia="pl-PL"/>
        </w:rPr>
        <w:t>dokument został podpisany kwalifikowanym podpisem elektronicznym</w:t>
      </w:r>
    </w:p>
    <w:sectPr w:rsidR="00495FB1" w:rsidRPr="003F2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DA0CB414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45"/>
        </w:tabs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005"/>
        </w:tabs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 w15:restartNumberingAfterBreak="0">
    <w:nsid w:val="220B3042"/>
    <w:multiLevelType w:val="hybridMultilevel"/>
    <w:tmpl w:val="12FA59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A1AC2"/>
    <w:multiLevelType w:val="hybridMultilevel"/>
    <w:tmpl w:val="24BE0D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695F"/>
    <w:multiLevelType w:val="hybridMultilevel"/>
    <w:tmpl w:val="6B063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46223"/>
    <w:multiLevelType w:val="hybridMultilevel"/>
    <w:tmpl w:val="A79CA0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17AF5"/>
    <w:multiLevelType w:val="hybridMultilevel"/>
    <w:tmpl w:val="AD76F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149D2"/>
    <w:multiLevelType w:val="hybridMultilevel"/>
    <w:tmpl w:val="4314C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457A4"/>
    <w:multiLevelType w:val="hybridMultilevel"/>
    <w:tmpl w:val="220C6F6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6724E2F"/>
    <w:multiLevelType w:val="hybridMultilevel"/>
    <w:tmpl w:val="A79CA0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017993">
    <w:abstractNumId w:val="0"/>
  </w:num>
  <w:num w:numId="2" w16cid:durableId="1647591719">
    <w:abstractNumId w:val="8"/>
  </w:num>
  <w:num w:numId="3" w16cid:durableId="58329568">
    <w:abstractNumId w:val="7"/>
  </w:num>
  <w:num w:numId="4" w16cid:durableId="977223910">
    <w:abstractNumId w:val="2"/>
  </w:num>
  <w:num w:numId="5" w16cid:durableId="1427382826">
    <w:abstractNumId w:val="1"/>
  </w:num>
  <w:num w:numId="6" w16cid:durableId="1939177223">
    <w:abstractNumId w:val="6"/>
  </w:num>
  <w:num w:numId="7" w16cid:durableId="1206142711">
    <w:abstractNumId w:val="4"/>
  </w:num>
  <w:num w:numId="8" w16cid:durableId="1058750827">
    <w:abstractNumId w:val="3"/>
  </w:num>
  <w:num w:numId="9" w16cid:durableId="420831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AF7100-B354-44C2-B0F5-0A5E80359302}"/>
  </w:docVars>
  <w:rsids>
    <w:rsidRoot w:val="00E80AFF"/>
    <w:rsid w:val="000168AC"/>
    <w:rsid w:val="000D267E"/>
    <w:rsid w:val="00130B42"/>
    <w:rsid w:val="001A3CD3"/>
    <w:rsid w:val="001C1B8A"/>
    <w:rsid w:val="00266F6D"/>
    <w:rsid w:val="002A1A77"/>
    <w:rsid w:val="00396588"/>
    <w:rsid w:val="003F2390"/>
    <w:rsid w:val="004473F1"/>
    <w:rsid w:val="00495FB1"/>
    <w:rsid w:val="0054105E"/>
    <w:rsid w:val="00607110"/>
    <w:rsid w:val="006B79C7"/>
    <w:rsid w:val="006C4336"/>
    <w:rsid w:val="006D2AE5"/>
    <w:rsid w:val="007130F8"/>
    <w:rsid w:val="00740BE8"/>
    <w:rsid w:val="00803E4C"/>
    <w:rsid w:val="0095222E"/>
    <w:rsid w:val="00983266"/>
    <w:rsid w:val="00A17BDC"/>
    <w:rsid w:val="00AF7C24"/>
    <w:rsid w:val="00BA5C1F"/>
    <w:rsid w:val="00BF07A4"/>
    <w:rsid w:val="00CD35AF"/>
    <w:rsid w:val="00CF433D"/>
    <w:rsid w:val="00D405A7"/>
    <w:rsid w:val="00D777DD"/>
    <w:rsid w:val="00DB7B20"/>
    <w:rsid w:val="00E624A6"/>
    <w:rsid w:val="00E80AFF"/>
    <w:rsid w:val="00F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534C"/>
  <w15:chartTrackingRefBased/>
  <w15:docId w15:val="{37C2DB18-B005-4DF0-BBBA-70001EEE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wo.legeo.pl/prawo/ustawa-z-dnia-12-marca-2004-r-o-pomocy-spolecznej/?on=13.10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CAF7100-B354-44C2-B0F5-0A5E803593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14</cp:revision>
  <cp:lastPrinted>2025-09-04T09:22:00Z</cp:lastPrinted>
  <dcterms:created xsi:type="dcterms:W3CDTF">2025-09-15T11:55:00Z</dcterms:created>
  <dcterms:modified xsi:type="dcterms:W3CDTF">2025-09-23T10:19:00Z</dcterms:modified>
</cp:coreProperties>
</file>